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027C" w14:textId="5418AD24" w:rsidR="0037371F" w:rsidRPr="00F33CF3" w:rsidRDefault="0037371F" w:rsidP="003D5D88">
      <w:pPr>
        <w:spacing w:line="276" w:lineRule="auto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6BA62B35" w14:textId="606B7FBC" w:rsidR="0037371F" w:rsidRPr="00AC0566" w:rsidRDefault="0037371F" w:rsidP="0037371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 GESTIONE DELLA DIVERSITÀ </w:t>
      </w:r>
      <w:r w:rsidR="00A650F0"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 ITALIA </w:t>
      </w:r>
    </w:p>
    <w:p w14:paraId="588DF9CC" w14:textId="487B3C22" w:rsidR="00737F95" w:rsidRPr="00AC0566" w:rsidRDefault="00A723E8" w:rsidP="00C31A5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 MONITORAGGIO</w:t>
      </w:r>
      <w:r w:rsidR="00620AA9"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DELLE ESPERIENZE </w:t>
      </w:r>
      <w:r w:rsidR="00737F95"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NELLA PA </w:t>
      </w:r>
    </w:p>
    <w:p w14:paraId="6FC1AC30" w14:textId="35BF06AE" w:rsidR="001D3F1F" w:rsidRPr="00AC0566" w:rsidRDefault="001D3F1F" w:rsidP="0037371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D47A20" w14:textId="77777777" w:rsidR="0037371F" w:rsidRPr="00AC0566" w:rsidRDefault="0037371F" w:rsidP="0037371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2EED89" w14:textId="791411A6" w:rsidR="0037371F" w:rsidRPr="00AC0566" w:rsidRDefault="0037371F" w:rsidP="009141F2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Parole</w:t>
      </w:r>
      <w:r w:rsidR="00101E69"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chiave: cultura, diversità, </w:t>
      </w:r>
      <w:r w:rsidR="00A723E8"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comunicazione,</w:t>
      </w:r>
      <w:r w:rsidR="00C717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Diversity Management, Pubblica Amministrazione</w:t>
      </w:r>
    </w:p>
    <w:p w14:paraId="20B53727" w14:textId="178BE184" w:rsidR="000115B4" w:rsidRPr="00AC0566" w:rsidRDefault="000115B4" w:rsidP="00E85232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C5739A0" w14:textId="77777777" w:rsidR="00BA7CD7" w:rsidRPr="00AC0566" w:rsidRDefault="00BA7CD7" w:rsidP="00E85232">
      <w:pPr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5949796" w14:textId="77777777" w:rsidR="00024245" w:rsidRPr="00AC0566" w:rsidRDefault="00547518" w:rsidP="00DB74D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Questo lavoro </w:t>
      </w:r>
      <w:r w:rsidR="009E3DEA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vuole </w:t>
      </w: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comprendere se all’interno delle organizzazioni pubbliche esiste una sensibilità verso il problema della diversità e quali sono le strategie di intervento più diffuse. </w:t>
      </w:r>
    </w:p>
    <w:p w14:paraId="100BC9E7" w14:textId="77777777" w:rsidR="00024245" w:rsidRPr="00AC0566" w:rsidRDefault="00024245" w:rsidP="00DB74D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612AE76" w14:textId="70B3C87D" w:rsidR="00DC5F48" w:rsidRPr="00D10085" w:rsidRDefault="00024245" w:rsidP="008E7229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Gli obiettivi e il metodo</w:t>
      </w:r>
    </w:p>
    <w:p w14:paraId="571DB1E1" w14:textId="50099224" w:rsidR="00713283" w:rsidRPr="00AC0566" w:rsidRDefault="00E0150C" w:rsidP="00DB74D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</w:t>
      </w:r>
      <w:r w:rsidR="00DB74D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rice</w:t>
      </w:r>
      <w:r w:rsidR="00A41089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rca che si sta conducendo </w:t>
      </w:r>
      <w:r w:rsidR="00B153B8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 par</w:t>
      </w:r>
      <w:r w:rsidR="00286CEB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</w:t>
      </w:r>
      <w:r w:rsidR="00B153B8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una tesi di dottorato che </w:t>
      </w:r>
      <w:r w:rsidR="00DB74D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mira a indagare se e attraverso quali pratiche si realizza la gestione e la valorizzazione </w:t>
      </w: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</w:t>
      </w:r>
      <w:r w:rsidR="00AF69C8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 differenze</w:t>
      </w: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in particolare quell</w:t>
      </w:r>
      <w:r w:rsidR="00AF69C8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legate alla </w:t>
      </w: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cultura di origine, </w:t>
      </w:r>
      <w:r w:rsidR="00DB74D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all’interno delle amministrazioni italiane</w:t>
      </w:r>
      <w:r w:rsidR="00AF21AC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F33CF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21AC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L’</w:t>
      </w:r>
      <w:r w:rsidR="009E3DEA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obiettivo</w:t>
      </w:r>
      <w:r w:rsidR="00AF21AC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è quello di tracciare un’analisi di scenario che metta in evidenza quali e quant</w:t>
      </w:r>
      <w:r w:rsidR="00992E8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AF21AC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2E8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organizzazioni pubbliche</w:t>
      </w:r>
      <w:r w:rsidR="00AF21AC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 con quali prospettive, abbiano avviato negli ultimi anni un programma di</w:t>
      </w:r>
      <w:r w:rsidR="00992E8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inclusione e </w:t>
      </w:r>
      <w:r w:rsidR="00BB30D4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peculiare funzione che la comunicazione può assumere a supporto di quest</w:t>
      </w:r>
      <w:r w:rsidR="006B2F12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BB30D4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approcci</w:t>
      </w:r>
      <w:r w:rsidR="006B2F12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o.</w:t>
      </w:r>
    </w:p>
    <w:p w14:paraId="3CD5A3E2" w14:textId="77777777" w:rsidR="008439B0" w:rsidRPr="00AC0566" w:rsidRDefault="008439B0" w:rsidP="00DB74D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FB859E8" w14:textId="067C13DC" w:rsidR="00C36FDD" w:rsidRPr="00AC0566" w:rsidRDefault="00663F34" w:rsidP="00DB74D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732803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’indagine,</w:t>
      </w:r>
      <w:r w:rsidR="0002647F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2DC8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cominciata</w:t>
      </w:r>
      <w:r w:rsidR="0002647F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nel marzo 2018 </w:t>
      </w:r>
      <w:r w:rsidR="00107084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che </w:t>
      </w:r>
      <w:r w:rsidR="0028070B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verr</w:t>
      </w:r>
      <w:r w:rsidR="00DF2DC8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à</w:t>
      </w:r>
      <w:r w:rsidR="0028070B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2DC8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ultimata</w:t>
      </w:r>
      <w:r w:rsidR="0028070B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7084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presumibilmente </w:t>
      </w:r>
      <w:r w:rsidR="00232793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nel </w:t>
      </w:r>
      <w:r w:rsidR="00107084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novembre 2019</w:t>
      </w:r>
      <w:r w:rsidR="007112FC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 articola in tre</w:t>
      </w:r>
      <w:r w:rsidR="00E14183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fasi di azione</w:t>
      </w:r>
      <w:r w:rsidR="00C36FD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rassegna </w:t>
      </w:r>
      <w:r w:rsidR="007112FC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della letteratura sul tema</w:t>
      </w:r>
      <w:r w:rsidR="00C36FD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1517E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analisi </w:t>
      </w:r>
      <w:r w:rsidR="00C36FD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della </w:t>
      </w:r>
      <w:r w:rsidR="002D317B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Carta italiana della Diversità, </w:t>
      </w:r>
      <w:r w:rsidR="00C36FDD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esame delle esperienze avviate e della loro valenza.</w:t>
      </w:r>
    </w:p>
    <w:p w14:paraId="18010A71" w14:textId="77777777" w:rsidR="00C36FDD" w:rsidRPr="00AC0566" w:rsidRDefault="00C36FDD" w:rsidP="00DB74DD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188FF2E" w14:textId="07450831" w:rsidR="00777199" w:rsidRPr="00AC0566" w:rsidRDefault="00B376AA" w:rsidP="008B069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</w:t>
      </w:r>
      <w:r w:rsidR="00342C4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primo step</w:t>
      </w:r>
      <w:r w:rsidR="00C36FD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ad oggi </w:t>
      </w:r>
      <w:r w:rsidR="002D317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già </w:t>
      </w:r>
      <w:r w:rsidR="00C36FD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concluso, 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è stato</w:t>
      </w:r>
      <w:r w:rsidR="00773B7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capire il filone teorico a cui far riferimento per inquadrare il fenomeno oggetto di studio. La scelta è stata quella di concentrarsi sull’insieme di politiche e riflessioni che si richiamano al </w:t>
      </w:r>
      <w:r w:rsidR="00777199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Diversity Management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Generalmente, infatti, con questo concetto si intende l’insieme di pratiche e azioni finalizzate alla gestione e </w:t>
      </w:r>
      <w:r w:rsidR="00A86A6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alla 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promozione della diversità degli individui e/o dei gruppi sociali nei luoghi di lavoro. </w:t>
      </w:r>
    </w:p>
    <w:p w14:paraId="3C649FD4" w14:textId="77777777" w:rsidR="008B069F" w:rsidRPr="00AC0566" w:rsidRDefault="008B069F" w:rsidP="008B069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92FE5" w14:textId="71ED7F8F" w:rsidR="00F44DCF" w:rsidRPr="00AC0566" w:rsidRDefault="004C228F" w:rsidP="0038492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Successivamente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, è stato necessario esplorar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specificità assunte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questo approccio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nel contesto europeo e in particolare in quello italiano. A tal fine, si è scelto di far riferimento</w:t>
      </w:r>
      <w:r w:rsidR="00F145A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Carte della Diversità, dai più considerate come la via al </w:t>
      </w:r>
      <w:r w:rsidR="00777199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diversity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nel Vecchio continente. Ci si è soffermati quindi sulla “Carta per le pari opportunità e l’uguaglianza sul lavoro”: la dichiarazione di intenti siglata in Italia</w:t>
      </w:r>
      <w:r w:rsidR="00E86EF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38A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5 ottobre 2009 </w:t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da enti pubblici e privati a favore della promozione della diversità e delle pari opportunità negli ambienti di lavoro</w:t>
      </w:r>
      <w:r w:rsidR="00777199" w:rsidRPr="00AC0566">
        <w:rPr>
          <w:rStyle w:val="Rimandonotaapidipagina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7719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512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3B4" w:rsidRPr="00AC056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Questa </w:t>
      </w:r>
      <w:r w:rsidR="00F44DCF" w:rsidRPr="00AC0566">
        <w:rPr>
          <w:rFonts w:ascii="Times New Roman" w:hAnsi="Times New Roman" w:cs="Times New Roman"/>
          <w:sz w:val="24"/>
          <w:szCs w:val="24"/>
        </w:rPr>
        <w:t>fase è stata caratterizzata da due attività principali</w:t>
      </w:r>
      <w:r w:rsidR="00481627" w:rsidRPr="00AC0566">
        <w:rPr>
          <w:rFonts w:ascii="Times New Roman" w:hAnsi="Times New Roman" w:cs="Times New Roman"/>
          <w:sz w:val="24"/>
          <w:szCs w:val="24"/>
        </w:rPr>
        <w:t xml:space="preserve">, realizzate </w:t>
      </w:r>
      <w:r w:rsidR="00FB2862" w:rsidRPr="00AC0566">
        <w:rPr>
          <w:rFonts w:ascii="Times New Roman" w:hAnsi="Times New Roman" w:cs="Times New Roman"/>
          <w:sz w:val="24"/>
          <w:szCs w:val="24"/>
        </w:rPr>
        <w:t>tra i mesi di aprile e ottobre</w:t>
      </w:r>
      <w:r w:rsidR="00481627" w:rsidRPr="00AC0566">
        <w:rPr>
          <w:rFonts w:ascii="Times New Roman" w:hAnsi="Times New Roman" w:cs="Times New Roman"/>
          <w:sz w:val="24"/>
          <w:szCs w:val="24"/>
        </w:rPr>
        <w:t xml:space="preserve"> 2018. </w:t>
      </w:r>
      <w:r w:rsidR="00F44DCF" w:rsidRPr="00AC0566">
        <w:rPr>
          <w:rFonts w:ascii="Times New Roman" w:hAnsi="Times New Roman" w:cs="Times New Roman"/>
          <w:sz w:val="24"/>
          <w:szCs w:val="24"/>
        </w:rPr>
        <w:t>Innanzitutto, è stato effettuato un primo profilo e una stima del numero delle PA che hanno aderito alla Carta. In un s</w:t>
      </w:r>
      <w:r w:rsidR="007827C9" w:rsidRPr="00AC0566">
        <w:rPr>
          <w:rFonts w:ascii="Times New Roman" w:hAnsi="Times New Roman" w:cs="Times New Roman"/>
          <w:sz w:val="24"/>
          <w:szCs w:val="24"/>
        </w:rPr>
        <w:t>econdo</w:t>
      </w:r>
      <w:r w:rsidR="00F44DCF" w:rsidRPr="00AC0566">
        <w:rPr>
          <w:rFonts w:ascii="Times New Roman" w:hAnsi="Times New Roman" w:cs="Times New Roman"/>
          <w:sz w:val="24"/>
          <w:szCs w:val="24"/>
        </w:rPr>
        <w:t xml:space="preserve"> momento, sono stat</w:t>
      </w:r>
      <w:r w:rsidR="00D447FD" w:rsidRPr="00AC0566">
        <w:rPr>
          <w:rFonts w:ascii="Times New Roman" w:hAnsi="Times New Roman" w:cs="Times New Roman"/>
          <w:sz w:val="24"/>
          <w:szCs w:val="24"/>
        </w:rPr>
        <w:t xml:space="preserve">i cercati i riferimenti </w:t>
      </w:r>
      <w:r w:rsidR="00D16F79" w:rsidRPr="00AC0566">
        <w:rPr>
          <w:rFonts w:ascii="Times New Roman" w:hAnsi="Times New Roman" w:cs="Times New Roman"/>
          <w:sz w:val="24"/>
          <w:szCs w:val="24"/>
        </w:rPr>
        <w:t>del</w:t>
      </w:r>
      <w:r w:rsidR="00D447FD" w:rsidRPr="00AC0566">
        <w:rPr>
          <w:rFonts w:ascii="Times New Roman" w:hAnsi="Times New Roman" w:cs="Times New Roman"/>
          <w:sz w:val="24"/>
          <w:szCs w:val="24"/>
        </w:rPr>
        <w:t xml:space="preserve">le </w:t>
      </w:r>
      <w:r w:rsidR="00034FE7" w:rsidRPr="00AC0566">
        <w:rPr>
          <w:rFonts w:ascii="Times New Roman" w:hAnsi="Times New Roman" w:cs="Times New Roman"/>
          <w:sz w:val="24"/>
          <w:szCs w:val="24"/>
        </w:rPr>
        <w:t xml:space="preserve">varie </w:t>
      </w:r>
      <w:r w:rsidR="0081759E" w:rsidRPr="00AC0566">
        <w:rPr>
          <w:rFonts w:ascii="Times New Roman" w:hAnsi="Times New Roman" w:cs="Times New Roman"/>
          <w:sz w:val="24"/>
          <w:szCs w:val="24"/>
        </w:rPr>
        <w:t>organizzazioni</w:t>
      </w:r>
      <w:r w:rsidR="002C5489" w:rsidRPr="00AC0566">
        <w:rPr>
          <w:rFonts w:ascii="Times New Roman" w:hAnsi="Times New Roman" w:cs="Times New Roman"/>
          <w:sz w:val="24"/>
          <w:szCs w:val="24"/>
        </w:rPr>
        <w:t xml:space="preserve"> e sono stat</w:t>
      </w:r>
      <w:r w:rsidR="00D447FD" w:rsidRPr="00AC0566">
        <w:rPr>
          <w:rFonts w:ascii="Times New Roman" w:hAnsi="Times New Roman" w:cs="Times New Roman"/>
          <w:sz w:val="24"/>
          <w:szCs w:val="24"/>
        </w:rPr>
        <w:t xml:space="preserve">i avviati i contatti con 123 </w:t>
      </w:r>
      <w:r w:rsidR="00D06BA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amministrazioni</w:t>
      </w:r>
      <w:r w:rsidR="00ED0D8F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6BA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66C7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 </w:t>
      </w:r>
      <w:r w:rsidR="00D447F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delle quali</w:t>
      </w:r>
      <w:r w:rsidR="005E75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6C7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hanno </w:t>
      </w:r>
      <w:r w:rsidR="00B3318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preso parte</w:t>
      </w:r>
      <w:r w:rsidR="00D447F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 ricerca</w:t>
      </w:r>
      <w:r w:rsidR="005E75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tutto il mese di ottobre - per</w:t>
      </w:r>
      <w:r w:rsidR="00866C7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capire quali e quante avessero attuato </w:t>
      </w:r>
      <w:r w:rsidR="00252CE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dei programmi </w:t>
      </w:r>
      <w:r w:rsidR="00866C7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F44C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9F44CC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diversity</w:t>
      </w:r>
      <w:r w:rsidR="00D447F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508F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Sono </w:t>
      </w:r>
      <w:r w:rsidR="00866C7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stati </w:t>
      </w:r>
      <w:r w:rsidR="006508F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quindi </w:t>
      </w:r>
      <w:r w:rsidR="00866C7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studiati gli organigrammi delle stesse, al fine di verificare se avessero istituito nella propria struttura una specifica figura professionale con il compito di coordinare </w:t>
      </w:r>
      <w:r w:rsidR="00930517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azioni</w:t>
      </w:r>
      <w:r w:rsidR="00866C7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valorizzazione delle differenze</w:t>
      </w:r>
      <w:r w:rsidR="00D447F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7F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</w:t>
      </w:r>
      <w:r w:rsidR="00FA1EB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291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contemporaneamente</w:t>
      </w:r>
      <w:r w:rsidR="00FA1EB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B291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DCF" w:rsidRPr="00AC0566">
        <w:rPr>
          <w:rFonts w:ascii="Times New Roman" w:hAnsi="Times New Roman" w:cs="Times New Roman"/>
          <w:sz w:val="24"/>
          <w:szCs w:val="24"/>
        </w:rPr>
        <w:t xml:space="preserve">è stata avviata un’analisi della documentazione sul tema prodotta dagli stessi enti.  </w:t>
      </w:r>
    </w:p>
    <w:p w14:paraId="0B97D8E2" w14:textId="77777777" w:rsidR="00384926" w:rsidRPr="00AC0566" w:rsidRDefault="00384926" w:rsidP="0038492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24D8B" w14:textId="5D49FF53" w:rsidR="00E5127D" w:rsidRPr="00AC0566" w:rsidRDefault="00F44DCF" w:rsidP="003B38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sz w:val="24"/>
          <w:szCs w:val="24"/>
        </w:rPr>
        <w:t xml:space="preserve">Nella terza </w:t>
      </w:r>
      <w:r w:rsidR="002423FF" w:rsidRPr="00AC0566">
        <w:rPr>
          <w:rFonts w:ascii="Times New Roman" w:hAnsi="Times New Roman" w:cs="Times New Roman"/>
          <w:sz w:val="24"/>
          <w:szCs w:val="24"/>
        </w:rPr>
        <w:t xml:space="preserve">e ultima fase, </w:t>
      </w:r>
      <w:r w:rsidR="00967CFF" w:rsidRPr="00AC0566">
        <w:rPr>
          <w:rFonts w:ascii="Times New Roman" w:hAnsi="Times New Roman" w:cs="Times New Roman"/>
          <w:sz w:val="24"/>
          <w:szCs w:val="24"/>
        </w:rPr>
        <w:t>prevista</w:t>
      </w:r>
      <w:r w:rsidRPr="00AC0566">
        <w:rPr>
          <w:rFonts w:ascii="Times New Roman" w:hAnsi="Times New Roman" w:cs="Times New Roman"/>
          <w:sz w:val="24"/>
          <w:szCs w:val="24"/>
        </w:rPr>
        <w:t xml:space="preserve"> </w:t>
      </w:r>
      <w:r w:rsidR="002423FF" w:rsidRPr="00AC0566">
        <w:rPr>
          <w:rFonts w:ascii="Times New Roman" w:hAnsi="Times New Roman" w:cs="Times New Roman"/>
          <w:sz w:val="24"/>
          <w:szCs w:val="24"/>
        </w:rPr>
        <w:t xml:space="preserve">per i prossimi mesi, </w:t>
      </w:r>
      <w:r w:rsidRPr="00AC0566">
        <w:rPr>
          <w:rFonts w:ascii="Times New Roman" w:hAnsi="Times New Roman" w:cs="Times New Roman"/>
          <w:sz w:val="24"/>
          <w:szCs w:val="24"/>
        </w:rPr>
        <w:t>sarà sviluppato un esame approfondito delle strategie attuate</w:t>
      </w:r>
      <w:r w:rsidR="00E5127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47D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6D5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L’intento</w:t>
      </w:r>
      <w:r w:rsidR="00E5127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quello di </w:t>
      </w:r>
      <w:r w:rsidR="00F3191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effettuare</w:t>
      </w:r>
      <w:r w:rsidR="00E5127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alcune interviste con professionisti/esperti del settore - </w:t>
      </w:r>
      <w:r w:rsidR="00E5127D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diversity manager </w:t>
      </w:r>
      <w:r w:rsidR="00AE43D0">
        <w:rPr>
          <w:rFonts w:ascii="Times New Roman" w:hAnsi="Times New Roman" w:cs="Times New Roman"/>
          <w:color w:val="000000" w:themeColor="text1"/>
          <w:sz w:val="24"/>
          <w:szCs w:val="24"/>
        </w:rPr>
        <w:t>e/o</w:t>
      </w:r>
      <w:r w:rsidR="00E5127D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27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direttori/responsabili delle risorse umane</w:t>
      </w:r>
      <w:r w:rsidR="00CA6CE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127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della formazione</w:t>
      </w:r>
      <w:r w:rsidR="00CA6CE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5127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della comunicazione</w:t>
      </w:r>
      <w:r w:rsidR="005C419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5127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con alcuni destinatari di queste politiche, al fine di comprenderne la </w:t>
      </w:r>
      <w:r w:rsidR="00296D5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reale </w:t>
      </w:r>
      <w:r w:rsidR="00E5127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valenza</w:t>
      </w:r>
      <w:r w:rsidR="00296D5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44E311D" w14:textId="55267697" w:rsidR="00E5127D" w:rsidRPr="00AC0566" w:rsidRDefault="00E5127D" w:rsidP="00C31A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86F4F" w14:textId="27F1576D" w:rsidR="00344A4E" w:rsidRPr="00D10085" w:rsidRDefault="0040485D" w:rsidP="009F047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C05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La questione </w:t>
      </w:r>
      <w:r w:rsidR="004F3C50" w:rsidRPr="00AC05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sociale alla base dell</w:t>
      </w:r>
      <w:r w:rsidR="00552F2D" w:rsidRPr="00AC05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’indagine </w:t>
      </w:r>
    </w:p>
    <w:p w14:paraId="1472C093" w14:textId="3C2C29EB" w:rsidR="00FD40D9" w:rsidRPr="00AC0566" w:rsidRDefault="004F3C50" w:rsidP="009F04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Qualunque sia la loro missione, pubblica, privata, non profit, le organizzazion</w:t>
      </w:r>
      <w:r w:rsidR="0018253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dovrebbero prepararsi per accogliere in maniera adeguata le differenze che ormai caratterizzano la società e creare un nuovo rapporto di fiducia non solo con i pubblici di riferimento ma anche con</w:t>
      </w:r>
      <w:r w:rsidR="00EB46B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e tra</w:t>
      </w:r>
      <w:r w:rsidR="00EB46B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propri dipendenti. </w:t>
      </w:r>
    </w:p>
    <w:p w14:paraId="2A4DA320" w14:textId="77777777" w:rsidR="00EA2677" w:rsidRPr="00AC0566" w:rsidRDefault="00EA2677" w:rsidP="009F04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27DEB1" w14:textId="49D5CB00" w:rsidR="004F3C50" w:rsidRPr="00AC0566" w:rsidRDefault="004F3C50" w:rsidP="009F04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L’origine di questa esigenza è la tendenza della società a farsi culturalmente sempre più composita in risposta a cambiamenti socio-demografici di lungo periodo, </w:t>
      </w:r>
      <w:r w:rsidR="00E0661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come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globalizzazione, le migrazioni internazionali e l’abbattimento di alcune barriere legate al genere, all’età, all’orientamento sessuale e alle abilità.</w:t>
      </w:r>
      <w:r w:rsidR="0008196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6BF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La nuova sfida diventa come accogliere e gestire ciò che è diverso, ovvero come costruire una cultura dell’inclusione e delle pari opportunità.</w:t>
      </w:r>
      <w:r w:rsidR="008D6BF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Non si tratta solo di attuare politiche negative, tese alla riduzione del pregiudizio, quanto di lavorare su strategie positive, orientate </w:t>
      </w:r>
      <w:r w:rsidR="004F3EB8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EE64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sostenere</w:t>
      </w:r>
      <w:r w:rsidR="004F3EB8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l’</w:t>
      </w:r>
      <w:r w:rsidR="004F3EB8" w:rsidRPr="00AC056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empowerment</w:t>
      </w:r>
      <w:r w:rsidR="004F3EB8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delle cosiddette minoranze. 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Un gap culturale difficile da colmare se si pensa che l’Italia è arrivata impreparata alla gestione di fenomeni complessi quali la crescita di una migrazione</w:t>
      </w:r>
      <w:r w:rsidR="00DD21CF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multietnica</w:t>
      </w:r>
      <w:r w:rsidR="00DD21CF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F3CF4A1" w14:textId="77777777" w:rsidR="00C9672B" w:rsidRPr="00AC0566" w:rsidRDefault="00C9672B" w:rsidP="009F04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0555C" w14:textId="2F31296A" w:rsidR="00FD40D9" w:rsidRPr="00AC0566" w:rsidRDefault="004F3C50" w:rsidP="009F047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 stesse amministrazioni pubbliche sono</w:t>
      </w:r>
      <w:r w:rsidR="0018157C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travolte da queste trasformazioni e allo stesso tempo sono chiamate a governarle. Le istituzioni, infatti,</w:t>
      </w:r>
      <w:r w:rsidR="00653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possono avere un ruolo strategico</w:t>
      </w: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nelle azioni di contrasto alle discriminazioni, </w:t>
      </w:r>
      <w:r w:rsidR="00543A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considerata </w:t>
      </w: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loro duplice veste di promotrici di politiche e di datrici di lavoro. </w:t>
      </w:r>
      <w:r w:rsidR="00AB5C98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isto il carattere pubblico della loro finalità</w:t>
      </w:r>
      <w:r w:rsidR="0018253C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B5C98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inoltre, </w:t>
      </w: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possono porsi come una guida per il settore privato, per cui le politiche del personale che sviluppano vanno a incidere fortemente sulle condizioni complessive del mercato. </w:t>
      </w:r>
      <w:r w:rsidR="003E403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Sebben</w:t>
      </w:r>
      <w:r w:rsidR="00AB5C9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maggior parte degli studi in ambito di inclusione riguardi il mondo aziendale, a parere di chi </w:t>
      </w:r>
      <w:r w:rsidR="00155FD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scrive 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risulta</w:t>
      </w:r>
      <w:r w:rsidR="003E403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quindi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fondamentale comprendere anche come la PA italiana affronti la compresenza di culture diverse all’interno della società e se stia sviluppando </w:t>
      </w:r>
      <w:r w:rsidR="00E60017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delle 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politiche specifiche per facilitare l’inserimento e la crescita di dipendenti con caratteristiche sempre più eterogenee.</w:t>
      </w:r>
    </w:p>
    <w:p w14:paraId="2F8909FF" w14:textId="77777777" w:rsidR="00EA2677" w:rsidRPr="00AC0566" w:rsidRDefault="00EA2677" w:rsidP="00C31A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799D6" w14:textId="6E47C15D" w:rsidR="00543A61" w:rsidRPr="00D10085" w:rsidRDefault="0040485D" w:rsidP="00C31A5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66">
        <w:rPr>
          <w:rFonts w:ascii="Times New Roman" w:hAnsi="Times New Roman" w:cs="Times New Roman"/>
          <w:b/>
          <w:sz w:val="24"/>
          <w:szCs w:val="24"/>
        </w:rPr>
        <w:t xml:space="preserve">Prime evidenze: </w:t>
      </w:r>
      <w:r w:rsidR="00635D89" w:rsidRPr="00AC0566">
        <w:rPr>
          <w:rFonts w:ascii="Times New Roman" w:hAnsi="Times New Roman" w:cs="Times New Roman"/>
          <w:b/>
          <w:sz w:val="24"/>
          <w:szCs w:val="24"/>
        </w:rPr>
        <w:t>i</w:t>
      </w:r>
      <w:r w:rsidR="00802A82" w:rsidRPr="00AC0566">
        <w:rPr>
          <w:rFonts w:ascii="Times New Roman" w:hAnsi="Times New Roman" w:cs="Times New Roman"/>
          <w:b/>
          <w:sz w:val="24"/>
          <w:szCs w:val="24"/>
        </w:rPr>
        <w:t xml:space="preserve"> nodi critici a livello metodologico </w:t>
      </w:r>
    </w:p>
    <w:p w14:paraId="425563B3" w14:textId="444B8B3E" w:rsidR="00EA3E81" w:rsidRPr="00AC0566" w:rsidRDefault="009B06C0" w:rsidP="00254063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Partendo</w:t>
      </w:r>
      <w:r w:rsidR="00CE60E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</w:t>
      </w:r>
      <w:r w:rsidR="00B402FD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elle</w:t>
      </w:r>
      <w:r w:rsidR="00CE60E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402FD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osservazioni </w:t>
      </w:r>
      <w:r w:rsidR="006364E5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fatte</w:t>
      </w:r>
      <w:r w:rsidR="00DF69C6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</w:t>
      </w:r>
      <w:r w:rsidR="00CE60E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considerando che l’indagine </w:t>
      </w:r>
      <w:r w:rsidR="000366B4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descritta </w:t>
      </w:r>
      <w:r w:rsidR="00CE60E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è ancora in corso, questo paper non </w:t>
      </w:r>
      <w:r w:rsidR="007D526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vuole soffermarsi</w:t>
      </w:r>
      <w:r w:rsidR="004232F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E60E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tanto su</w:t>
      </w:r>
      <w:r w:rsidR="00635D89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risultati</w:t>
      </w:r>
      <w:r w:rsidR="00CE60E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0802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della ricerca</w:t>
      </w:r>
      <w:r w:rsidR="00964BE7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il che sarebbe prematuro - </w:t>
      </w:r>
      <w:r w:rsidR="00CE60E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quanto</w:t>
      </w:r>
      <w:r w:rsidR="00307F4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F004A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 alcune evidenze emerse a livello metodologico</w:t>
      </w:r>
      <w:r w:rsidR="00EA3E81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90B2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spesso in modo inatteso e </w:t>
      </w:r>
      <w:r w:rsidR="006D7AE9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sotto</w:t>
      </w:r>
      <w:r w:rsidR="00990B2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forma di criticità, che richiamano </w:t>
      </w:r>
      <w:r w:rsidR="00470371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 seguenti</w:t>
      </w:r>
      <w:r w:rsidR="00990B2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questioni concettuali</w:t>
      </w:r>
      <w:r w:rsidR="00135932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4A4B066" w14:textId="06DE110C" w:rsidR="00990B2B" w:rsidRPr="00AC0566" w:rsidRDefault="00990B2B" w:rsidP="007A76C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Accesso all’og</w:t>
      </w:r>
      <w:r w:rsidR="007A76C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getto di studio</w:t>
      </w: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3A3A0875" w14:textId="516604C6" w:rsidR="00936EFF" w:rsidRPr="00AC0566" w:rsidRDefault="00936EFF" w:rsidP="00936EF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3F243C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cquisizione</w:t>
      </w:r>
      <w:r w:rsidR="00990B2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dei dati;</w:t>
      </w:r>
    </w:p>
    <w:p w14:paraId="4A083C97" w14:textId="404A53E5" w:rsidR="00990B2B" w:rsidRPr="00AC0566" w:rsidRDefault="00936EFF" w:rsidP="00990B2B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25406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tichetta</w:t>
      </w:r>
      <w:r w:rsidR="00990B2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terminologica da utilizzare;</w:t>
      </w:r>
    </w:p>
    <w:p w14:paraId="2AE53B00" w14:textId="4A33A8B1" w:rsidR="00936EFF" w:rsidRPr="00AC0566" w:rsidRDefault="00936EFF" w:rsidP="00936EFF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C</w:t>
      </w:r>
      <w:r w:rsidR="0025406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onsapevolezza</w:t>
      </w:r>
      <w:r w:rsidR="002F1A8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delle politiche a</w:t>
      </w:r>
      <w:r w:rsidR="00807D0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ttuate</w:t>
      </w:r>
      <w:r w:rsidR="002F1A8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E9F7AE9" w14:textId="600CCEBD" w:rsidR="00254063" w:rsidRPr="00AC0566" w:rsidRDefault="00936EFF" w:rsidP="0015330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B3585D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urocra</w:t>
      </w:r>
      <w:r w:rsidR="00153306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ticità</w:t>
      </w:r>
      <w:r w:rsidR="002F1A8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del</w:t>
      </w:r>
      <w:r w:rsidR="00807D0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settore pubblico</w:t>
      </w:r>
      <w:r w:rsidR="002F1A8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6655797" w14:textId="77777777" w:rsidR="00E2446D" w:rsidRPr="00AC0566" w:rsidRDefault="00E2446D" w:rsidP="00485D89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30243AC" w14:textId="5914B6F8" w:rsidR="00013B5B" w:rsidRPr="00AC0566" w:rsidRDefault="00E2446D" w:rsidP="00485D8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Il primo risultato meritevole di attenzione riguarda </w:t>
      </w:r>
      <w:r w:rsidR="00DF69C6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 </w:t>
      </w:r>
      <w:r w:rsidR="00F145A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difficoltà </w:t>
      </w:r>
      <w:r w:rsidR="0091625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riscontrata </w:t>
      </w:r>
      <w:r w:rsidR="00A822FD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nell’individuare </w:t>
      </w:r>
      <w:r w:rsidR="00435255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strumenti utili a</w:t>
      </w:r>
      <w:r w:rsidR="00807D03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35255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indagare </w:t>
      </w:r>
      <w:r w:rsidR="00975507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il fenomeno</w:t>
      </w:r>
      <w:r w:rsidR="00F145A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ambito nazionale.</w:t>
      </w:r>
      <w:r w:rsidR="005F5B30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851DA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 la novità del tema e la scarsità di esperienze, la</w:t>
      </w:r>
      <w:r w:rsidR="001539B7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45A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scelta è ricaduta </w:t>
      </w:r>
      <w:r w:rsidR="00DF69C6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45A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sull</w:t>
      </w:r>
      <w:r w:rsidR="001851D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145A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strad</w:t>
      </w:r>
      <w:r w:rsidR="001851D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145A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accesso “classic</w:t>
      </w:r>
      <w:r w:rsidR="001851D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145A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” alla ricerca in questo campo,</w:t>
      </w:r>
      <w:r w:rsidR="00013B5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ovvero la </w:t>
      </w:r>
      <w:r w:rsidR="0086467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Carta della Diversità</w:t>
      </w:r>
      <w:r w:rsidR="00BD711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3B5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Sebbene l’adesione alla Carta non garantisca lo sviluppo di pratiche di inclusione, si è scelto di </w:t>
      </w:r>
      <w:r w:rsidR="0058213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partire dal</w:t>
      </w:r>
      <w:r w:rsidR="00013B5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l’analisi di un documento formale che rappresenta comunque un</w:t>
      </w:r>
      <w:r w:rsidR="00CD54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 prima</w:t>
      </w:r>
      <w:r w:rsidR="00013B5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presa di coscienza da parte delle organizzazioni</w:t>
      </w:r>
      <w:r w:rsidR="00F941E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B5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della necessità di confrontarsi con la sfida posta dalla diversità.</w:t>
      </w:r>
      <w:r w:rsidR="006C031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F8B728" w14:textId="77777777" w:rsidR="00254063" w:rsidRPr="00AC0566" w:rsidRDefault="00254063" w:rsidP="009F047A">
      <w:pPr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F9059D" w14:textId="1549A83F" w:rsidR="009F7B7F" w:rsidRPr="00F437FD" w:rsidRDefault="00973188" w:rsidP="00F437FD">
      <w:pPr>
        <w:pStyle w:val="Testonotaapidipagina"/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Un’altra </w:t>
      </w:r>
      <w:r w:rsidR="000A72C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criticità </w:t>
      </w:r>
      <w:r w:rsidR="00353E3C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è </w:t>
      </w:r>
      <w:r w:rsidR="000A72CB" w:rsidRPr="00AC0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legata</w:t>
      </w:r>
      <w:r w:rsidR="000F12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 raccolta dei dati. È stato molto difficile infatti ottenere delle risposte tempestive e senza dover ricorrere a molteplici </w:t>
      </w:r>
      <w:r w:rsidR="000F1206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recall</w:t>
      </w:r>
      <w:r w:rsidR="000F12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telefonici o a periodiche richieste via email, spesso inoltrate al responsabil</w:t>
      </w:r>
      <w:r w:rsidR="00FE33A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0F12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di turno ma senza alcun riscontro</w:t>
      </w:r>
      <w:r w:rsidR="00353E3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720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F8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problema molto frequente ma che </w:t>
      </w:r>
      <w:r w:rsidR="002848C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questo caso </w:t>
      </w:r>
      <w:r w:rsidR="00336F8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sembra</w:t>
      </w:r>
      <w:r w:rsidR="002848C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dovuto anche a </w:t>
      </w:r>
      <w:r w:rsidR="00336F8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una scarsa conoscenza del tema trattato.</w:t>
      </w:r>
    </w:p>
    <w:p w14:paraId="26B64EED" w14:textId="7FC5CED7" w:rsidR="00E9135E" w:rsidRPr="00AC0566" w:rsidRDefault="00DC25D3" w:rsidP="00256D2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Il che</w:t>
      </w:r>
      <w:r w:rsidR="00336F8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rimanda al terzo risultato degno di nota, e cioè a un 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problema</w:t>
      </w:r>
      <w:r w:rsidR="00366CF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 potremmo definire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EF581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di etichetta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366CF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</w:t>
      </w:r>
      <w:r w:rsidR="00366CF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ha inciso fortemente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sulla comprensione della ricerca da parte delle amministrazioni coinvolte. Molte istituzioni, infatti, non essendo a conoscenza delle politiche 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indicate con l’espressione </w:t>
      </w:r>
      <w:r w:rsidR="00206B06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Diversity Management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hanno dichiarato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in un primo momento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non aver intrapreso alcuna iniziativa in tale ambito. È stato quindi necessario esplicitar</w:t>
      </w:r>
      <w:r w:rsidR="00B85BB8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maniera adeguata le finalità </w:t>
      </w:r>
      <w:r w:rsidR="00B85BB8">
        <w:rPr>
          <w:rFonts w:ascii="Times New Roman" w:hAnsi="Times New Roman" w:cs="Times New Roman"/>
          <w:color w:val="000000" w:themeColor="text1"/>
          <w:sz w:val="24"/>
          <w:szCs w:val="24"/>
        </w:rPr>
        <w:t>e i significati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avere delle risposte coerenti con</w:t>
      </w:r>
      <w:r w:rsidR="003B498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l’indagine condotta</w:t>
      </w:r>
      <w:r w:rsidR="00206B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56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F5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Questo</w:t>
      </w:r>
      <w:r w:rsidR="0055435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F5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suggerisce</w:t>
      </w:r>
      <w:r w:rsidR="00A41B0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711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secondo lo scrivente</w:t>
      </w:r>
      <w:r w:rsidR="00A41B0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1F5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il campo di </w:t>
      </w:r>
      <w:r w:rsidR="00EF581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studio</w:t>
      </w:r>
      <w:r w:rsidR="00001F5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talmente innovativo </w:t>
      </w:r>
      <w:r w:rsidR="0055435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poco esplorato </w:t>
      </w:r>
      <w:r w:rsidR="00001F5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che la stessa terminologia utilizzata per indagarlo spesso non risulta adeguata. Non basta “appropriarsi” dell’eredità proveniente dagli States e calarla nel contesto italiano</w:t>
      </w:r>
      <w:r w:rsidR="00CA700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Bisogna </w:t>
      </w:r>
      <w:r w:rsidR="00001F5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prima di tutto capire le specificità di quest’ultimo</w:t>
      </w:r>
      <w:r w:rsidR="00970AB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avviare una riflessione </w:t>
      </w:r>
      <w:r w:rsidR="00AD0CD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che consenta di</w:t>
      </w:r>
      <w:r w:rsidR="00970AB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F5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selezionare</w:t>
      </w:r>
      <w:r w:rsidR="003446D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 </w:t>
      </w:r>
      <w:r w:rsidR="00240FF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gli appr</w:t>
      </w:r>
      <w:r w:rsidR="004D3FCF">
        <w:rPr>
          <w:rFonts w:ascii="Times New Roman" w:hAnsi="Times New Roman" w:cs="Times New Roman"/>
          <w:color w:val="000000" w:themeColor="text1"/>
          <w:sz w:val="24"/>
          <w:szCs w:val="24"/>
        </w:rPr>
        <w:t>occi</w:t>
      </w:r>
      <w:r w:rsidR="00001F5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propri</w:t>
      </w:r>
      <w:r w:rsidR="00050C0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AB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</w:t>
      </w:r>
      <w:r w:rsidR="00001F54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Diversity Management</w:t>
      </w:r>
      <w:r w:rsidR="00297522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50C0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quelli più </w:t>
      </w:r>
      <w:r w:rsidR="0029752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adatti alle peculiarità </w:t>
      </w:r>
      <w:r w:rsidR="0001240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nazionali</w:t>
      </w:r>
      <w:r w:rsidR="002344D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7DAE8C" w14:textId="77777777" w:rsidR="007E368B" w:rsidRPr="00AC0566" w:rsidRDefault="007E368B" w:rsidP="000C21D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3422D" w14:textId="1B9A606F" w:rsidR="00652BBE" w:rsidRPr="00AC0566" w:rsidRDefault="000140A9" w:rsidP="008865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017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quarto 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luogo </w:t>
      </w:r>
      <w:r w:rsidR="007A017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è emerso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problema di consapevolezza</w:t>
      </w:r>
      <w:r w:rsidR="000B222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55CC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 degli stessi enti</w:t>
      </w:r>
      <w:r w:rsidR="000B222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5CC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delle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16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proprie 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politiche</w:t>
      </w:r>
      <w:r w:rsidR="0056796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Vanno 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segnalati</w:t>
      </w:r>
      <w:r w:rsidR="00C438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infatti, 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alcuni casi in cui </w:t>
      </w:r>
      <w:r w:rsidR="00555CC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le organizzazioni contattate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pur avendo 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compreso la volontà di andare a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19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studiare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strategie di gestione</w:t>
      </w:r>
      <w:r w:rsidR="00E9016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della diversità attuate nei confronti delle proprie risorse umane, hanno dichiarato di non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aver avviato nessun programma in tal senso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di non avere strutture 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deputate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questa funzione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 questo 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pur avendo istituito dei C</w:t>
      </w:r>
      <w:r w:rsidR="00057FE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UG o</w:t>
      </w:r>
      <w:r w:rsidR="000C21D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redatto dei Piani 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triennali delle azioni positive, come </w:t>
      </w:r>
      <w:r w:rsidR="00250A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evince 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dallo studio della documentazione sul tema prodotta dagli stessi</w:t>
      </w:r>
      <w:r w:rsidR="00C1074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enti. </w:t>
      </w:r>
      <w:r w:rsidR="0007159F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Un’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omissione</w:t>
      </w:r>
      <w:r w:rsidR="0007159F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importante se si considera che il fine di questi ultimi è proprio quello di </w:t>
      </w:r>
      <w:r w:rsidR="00A926E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garantire l’assenza nell’ambiente di lavoro di qualunque forma di violenza e di discriminazione</w:t>
      </w:r>
      <w:r w:rsidR="00B25E4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6E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relativ</w:t>
      </w:r>
      <w:r w:rsidR="0024549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926E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genere, all’età, all’orientamento sessuale, alla razza, all’origine etnica, alla disabilità, alla religione e alla lingua.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È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stato quindi necessario avviare un’analisi dei Pian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 delle azioni</w:t>
      </w:r>
      <w:r w:rsidR="003645F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propost</w:t>
      </w:r>
      <w:r w:rsidR="00623C6F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dalle </w:t>
      </w:r>
      <w:r w:rsidR="00796D0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amministrazioni </w:t>
      </w:r>
      <w:r w:rsidR="00796D0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che hanno fornito un riscontro,</w:t>
      </w:r>
      <w:r w:rsidR="0018253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capire se e come </w:t>
      </w:r>
      <w:r w:rsidR="000607C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fossero stati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tradotti in de</w:t>
      </w:r>
      <w:r w:rsidR="00952D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reali 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impegni programmatici</w:t>
      </w:r>
      <w:r w:rsidR="00952D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A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inclusione nei singoli contesti lavorativi.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queste prime esplorazioni è </w:t>
      </w:r>
      <w:r w:rsidR="00EC60D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risultata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scarsa attenzione al tema da parte delle organizzazioni </w:t>
      </w:r>
      <w:r w:rsidR="0031711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pubbliche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un notevole ritardo rispetto al contesto europeo. I programmi di </w:t>
      </w:r>
      <w:r w:rsidR="000E0131" w:rsidRPr="00AC0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diversity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sono </w:t>
      </w:r>
      <w:r w:rsidR="00E77FF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sembrati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infatti a uno stato embrionale e spesso adottati in modo non sistematico, al di fuori di una strategia unitaria di lungo</w:t>
      </w:r>
      <w:r w:rsidR="00FF592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periodo.</w:t>
      </w:r>
      <w:r w:rsidR="00FD3B2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CA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Hanno inoltre</w:t>
      </w:r>
      <w:r w:rsidR="00FD3B2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presentato</w:t>
      </w:r>
      <w:r w:rsidR="00FD3B2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un ambito di intervento</w:t>
      </w:r>
      <w:r w:rsidR="008D097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ristretto alle </w:t>
      </w:r>
      <w:r w:rsidR="0052239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questioni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genere e di abilità, mentre quasi nulla è stato fatto sulle differenze di origine e spesso si </w:t>
      </w:r>
      <w:r w:rsidR="00136FC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è trattato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di iniziative rivolte alle comunità locali</w:t>
      </w:r>
      <w:r w:rsidR="003A635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e non all’interno de</w:t>
      </w:r>
      <w:r w:rsidR="009A75B9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singoli enti. </w:t>
      </w:r>
    </w:p>
    <w:p w14:paraId="6568D05B" w14:textId="77777777" w:rsidR="0088659C" w:rsidRPr="00AC0566" w:rsidRDefault="0088659C" w:rsidP="0088659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991EE" w14:textId="3F346B1E" w:rsidR="000E0131" w:rsidRPr="00AC0566" w:rsidRDefault="007A0174" w:rsidP="007D3DA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r w:rsidR="00CC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0307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infine</w:t>
      </w:r>
      <w:r w:rsidR="00CC2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evidenziata </w:t>
      </w:r>
      <w:r w:rsidR="000232F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9B116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232F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criticità legata alla burocra</w:t>
      </w:r>
      <w:r w:rsidR="0015330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ticità</w:t>
      </w:r>
      <w:r w:rsidR="000232F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settore pubblico. </w:t>
      </w:r>
      <w:r w:rsidR="007C0307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questi primi dati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sembra</w:t>
      </w:r>
      <w:r w:rsidR="007C0307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infatti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 la PA </w:t>
      </w:r>
      <w:r w:rsidR="000D11B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non abbia ancora compreso in maniera adeguata</w:t>
      </w:r>
      <w:r w:rsidR="00E94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11B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o che comunque si st</w:t>
      </w:r>
      <w:r w:rsidR="00796D0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</w:t>
      </w:r>
      <w:r w:rsidR="000D11B4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muovendo</w:t>
      </w:r>
      <w:r w:rsidR="0018253C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in ritardo di fronte all</w:t>
      </w:r>
      <w:r w:rsidR="00E65E7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D513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trasformazioni intervenute nel tessuto sociale, il che si pone in contrasto con le numerose prescrizioni normative a favore della diversità elaborate negli ultimi anni e </w:t>
      </w:r>
      <w:r w:rsidR="00186A9D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prospetta</w:t>
      </w:r>
      <w:r w:rsidR="007D3DA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un’ennesima </w:t>
      </w:r>
      <w:r w:rsidR="00F02F2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questione</w:t>
      </w:r>
      <w:r w:rsidR="007D3DA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affrontare nello sviluppo della ricerca. Ovvero, </w:t>
      </w:r>
      <w:r w:rsidR="00F9176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qua</w:t>
      </w:r>
      <w:r w:rsidR="002B669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nto è stato </w:t>
      </w:r>
      <w:r w:rsidR="0043749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realizzato</w:t>
      </w:r>
      <w:r w:rsidR="002B6692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1F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concretamente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al di là di questa costellazione di provvedimenti formali che sembrano intrecciarsi e sovrapporsi tra loro?</w:t>
      </w:r>
      <w:r w:rsidR="006055C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Il risc</w:t>
      </w:r>
      <w:r w:rsidR="007D3DA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hio di un impegno di “facciata” </w:t>
      </w:r>
      <w:r w:rsidR="008761F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del resto</w:t>
      </w:r>
      <w:r w:rsidR="002C658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DA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è molto forte e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sembra trovare conferma nel fatto che il 46% delle organizzazioni </w:t>
      </w:r>
      <w:r w:rsidR="00FC7FF8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contattate </w:t>
      </w:r>
      <w:r w:rsidR="007D3DA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ha dichiarato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aver istituto un C</w:t>
      </w:r>
      <w:r w:rsidR="00D778D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UG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di non aver sviluppato alcuna iniziativa per la promozione delle pari </w:t>
      </w:r>
      <w:r w:rsidR="006F057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opportunità</w:t>
      </w:r>
      <w:r w:rsidR="00A11D2F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="007D3DA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lcuni enti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 sono </w:t>
      </w:r>
      <w:r w:rsidR="007D3DAA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addirittu</w:t>
      </w:r>
      <w:r w:rsidR="00547176">
        <w:rPr>
          <w:rFonts w:ascii="Times New Roman" w:hAnsi="Times New Roman" w:cs="Times New Roman"/>
          <w:color w:val="000000" w:themeColor="text1"/>
          <w:sz w:val="24"/>
          <w:szCs w:val="24"/>
        </w:rPr>
        <w:t>ra detti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all’oscuro di aver siglato </w:t>
      </w:r>
      <w:r w:rsidR="0063516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Carta della Diversità. </w:t>
      </w:r>
    </w:p>
    <w:p w14:paraId="3B06D658" w14:textId="289CE295" w:rsidR="00DD6914" w:rsidRPr="00AC0566" w:rsidRDefault="00DD6914" w:rsidP="007D3DA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F2060" w14:textId="4DBD808D" w:rsidR="0037371F" w:rsidRPr="00146E21" w:rsidRDefault="0015105B" w:rsidP="00DD691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Come </w:t>
      </w:r>
      <w:r w:rsidR="00696F37">
        <w:rPr>
          <w:rFonts w:ascii="Times New Roman" w:hAnsi="Times New Roman" w:cs="Times New Roman"/>
          <w:color w:val="000000" w:themeColor="text1"/>
          <w:sz w:val="24"/>
          <w:szCs w:val="24"/>
        </w:rPr>
        <w:t>già precisato</w:t>
      </w:r>
      <w:r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, questi spunti</w:t>
      </w:r>
      <w:r w:rsidR="008A69B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895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proposti</w:t>
      </w:r>
      <w:r w:rsidR="008A69B6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alla riflessione </w:t>
      </w:r>
      <w:r w:rsidR="00B748E3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 sono i risultati propri dell’indagine ma nodi critici, in parte inattesi, emersi </w:t>
      </w:r>
      <w:r w:rsidR="00146E2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come spesso accade quando ci si muove su un terreno po</w:t>
      </w:r>
      <w:r w:rsidR="004F666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</w:t>
      </w:r>
      <w:r w:rsidR="00FC2E7B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investigato</w:t>
      </w:r>
      <w:r w:rsidR="004F6660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46E2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Dettagli ai quali </w:t>
      </w:r>
      <w:r w:rsidR="00DB4F47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>però</w:t>
      </w:r>
      <w:r w:rsidR="00146E2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importante porre attenzione perché sintomatici del bisogno della ricerca di ascoltare la realtà di riferimento per procedere in maniera proficua.</w:t>
      </w:r>
      <w:r w:rsidR="00146E21" w:rsidRPr="00AC05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97B8B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>Tutto ciò fa</w:t>
      </w:r>
      <w:r w:rsidR="00481EEE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propendere per l’idea di mantenere aperte più piste di </w:t>
      </w:r>
      <w:r w:rsidR="00146E21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>indagine</w:t>
      </w:r>
      <w:r w:rsidR="00481EEE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come si </w:t>
      </w:r>
      <w:r w:rsidR="006055C5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>richiede</w:t>
      </w:r>
      <w:r w:rsidR="00481EEE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ad uno studio necessariamente </w:t>
      </w:r>
      <w:r w:rsidR="006A4F05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>esplorativo</w:t>
      </w:r>
      <w:r w:rsidR="00481EEE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e </w:t>
      </w:r>
      <w:r w:rsidR="000E0131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procedere con </w:t>
      </w:r>
      <w:r w:rsidR="00481EEE" w:rsidRPr="00AC0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esame approfondito delle strategie attuate e del loro effettivo ritorno. </w:t>
      </w:r>
      <w:r w:rsidR="002812C0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>L’obiettivo</w:t>
      </w:r>
      <w:r w:rsidR="00481EEE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è quello di ottenere una rassegna critica degli strumenti utilizzabili oggi nel settore pubblico, allo scopo di </w:t>
      </w:r>
      <w:r w:rsidR="002812C0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recuperare elementi utili a ricostruire i fattori che possano favorire o ostacolare l’affermazione di pratiche di </w:t>
      </w:r>
      <w:r w:rsidR="00037B85" w:rsidRPr="00AC056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d</w:t>
      </w:r>
      <w:r w:rsidR="002812C0" w:rsidRPr="00AC056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iversity</w:t>
      </w:r>
      <w:r w:rsidR="002812C0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1EEE" w:rsidRPr="00AC0566">
        <w:rPr>
          <w:rFonts w:ascii="Times New Roman" w:eastAsia="Calibri" w:hAnsi="Times New Roman" w:cs="Times New Roman"/>
          <w:sz w:val="24"/>
          <w:szCs w:val="24"/>
          <w:lang w:eastAsia="en-US"/>
        </w:rPr>
        <w:t>nel territorio nazionale.</w:t>
      </w:r>
      <w:bookmarkStart w:id="0" w:name="_GoBack"/>
      <w:bookmarkEnd w:id="0"/>
    </w:p>
    <w:sectPr w:rsidR="0037371F" w:rsidRPr="00146E2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37E3A" w14:textId="77777777" w:rsidR="001D41A4" w:rsidRDefault="001D41A4" w:rsidP="004B3D59">
      <w:r>
        <w:separator/>
      </w:r>
    </w:p>
  </w:endnote>
  <w:endnote w:type="continuationSeparator" w:id="0">
    <w:p w14:paraId="4A835940" w14:textId="77777777" w:rsidR="001D41A4" w:rsidRDefault="001D41A4" w:rsidP="004B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4688106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DED4897" w14:textId="77777777" w:rsidR="004376D3" w:rsidRDefault="004376D3" w:rsidP="004776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3067536" w14:textId="77777777" w:rsidR="004376D3" w:rsidRDefault="004376D3" w:rsidP="004376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imes New Roman" w:hAnsi="Times New Roman" w:cs="Times New Roman"/>
      </w:rPr>
      <w:id w:val="-20205284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00A0FF" w14:textId="77777777" w:rsidR="004376D3" w:rsidRPr="00FC150C" w:rsidRDefault="004376D3" w:rsidP="0047760C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</w:rPr>
        </w:pPr>
        <w:r w:rsidRPr="00FC150C">
          <w:rPr>
            <w:rStyle w:val="Numeropagina"/>
            <w:rFonts w:ascii="Times New Roman" w:hAnsi="Times New Roman" w:cs="Times New Roman"/>
          </w:rPr>
          <w:fldChar w:fldCharType="begin"/>
        </w:r>
        <w:r w:rsidRPr="00FC150C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FC150C">
          <w:rPr>
            <w:rStyle w:val="Numeropagina"/>
            <w:rFonts w:ascii="Times New Roman" w:hAnsi="Times New Roman" w:cs="Times New Roman"/>
          </w:rPr>
          <w:fldChar w:fldCharType="separate"/>
        </w:r>
        <w:r w:rsidR="00652BBE" w:rsidRPr="00FC150C">
          <w:rPr>
            <w:rStyle w:val="Numeropagina"/>
            <w:rFonts w:ascii="Times New Roman" w:hAnsi="Times New Roman" w:cs="Times New Roman"/>
            <w:noProof/>
          </w:rPr>
          <w:t>1</w:t>
        </w:r>
        <w:r w:rsidRPr="00FC150C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132D4E00" w14:textId="77777777" w:rsidR="004376D3" w:rsidRDefault="004376D3" w:rsidP="004376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45E6C" w14:textId="77777777" w:rsidR="001D41A4" w:rsidRDefault="001D41A4" w:rsidP="004B3D59">
      <w:r>
        <w:separator/>
      </w:r>
    </w:p>
  </w:footnote>
  <w:footnote w:type="continuationSeparator" w:id="0">
    <w:p w14:paraId="0D966FF2" w14:textId="77777777" w:rsidR="001D41A4" w:rsidRDefault="001D41A4" w:rsidP="004B3D59">
      <w:r>
        <w:continuationSeparator/>
      </w:r>
    </w:p>
  </w:footnote>
  <w:footnote w:id="1">
    <w:p w14:paraId="7084AD5C" w14:textId="3702E657" w:rsidR="00777199" w:rsidRPr="00FC150C" w:rsidRDefault="00777199" w:rsidP="004E0229">
      <w:pPr>
        <w:pStyle w:val="Testonotaapidipagina"/>
        <w:jc w:val="both"/>
        <w:rPr>
          <w:rFonts w:ascii="Times New Roman" w:hAnsi="Times New Roman" w:cs="Times New Roman"/>
          <w:lang w:val="en-US"/>
        </w:rPr>
      </w:pPr>
      <w:r w:rsidRPr="00FC150C">
        <w:rPr>
          <w:rStyle w:val="Rimandonotaapidipagina"/>
          <w:rFonts w:ascii="Times New Roman" w:hAnsi="Times New Roman" w:cs="Times New Roman"/>
        </w:rPr>
        <w:footnoteRef/>
      </w:r>
      <w:r w:rsidRPr="00FC150C">
        <w:rPr>
          <w:rFonts w:ascii="Times New Roman" w:hAnsi="Times New Roman" w:cs="Times New Roman"/>
        </w:rPr>
        <w:t xml:space="preserve"> </w:t>
      </w:r>
      <w:r w:rsidR="00A81ABA">
        <w:rPr>
          <w:rFonts w:ascii="Times New Roman" w:hAnsi="Times New Roman" w:cs="Times New Roman"/>
        </w:rPr>
        <w:t>Alla</w:t>
      </w:r>
      <w:r w:rsidRPr="00FC150C">
        <w:rPr>
          <w:rFonts w:ascii="Times New Roman" w:hAnsi="Times New Roman" w:cs="Times New Roman"/>
        </w:rPr>
        <w:t xml:space="preserve"> Carta aderiscono oggi 700 tra imprese e pubbliche amministrazioni.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7E0"/>
    <w:multiLevelType w:val="hybridMultilevel"/>
    <w:tmpl w:val="469AFE8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B4D8D"/>
    <w:multiLevelType w:val="hybridMultilevel"/>
    <w:tmpl w:val="C19E7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C49E8"/>
    <w:multiLevelType w:val="multilevel"/>
    <w:tmpl w:val="5C4C5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71F"/>
    <w:rsid w:val="00001F54"/>
    <w:rsid w:val="000115B4"/>
    <w:rsid w:val="00012408"/>
    <w:rsid w:val="00013B5B"/>
    <w:rsid w:val="000140A9"/>
    <w:rsid w:val="000232F0"/>
    <w:rsid w:val="00023914"/>
    <w:rsid w:val="00024245"/>
    <w:rsid w:val="0002647F"/>
    <w:rsid w:val="00032B06"/>
    <w:rsid w:val="000343FD"/>
    <w:rsid w:val="00034FE7"/>
    <w:rsid w:val="000366B4"/>
    <w:rsid w:val="00037B85"/>
    <w:rsid w:val="000429CC"/>
    <w:rsid w:val="00050C08"/>
    <w:rsid w:val="00057FED"/>
    <w:rsid w:val="000607C1"/>
    <w:rsid w:val="00070917"/>
    <w:rsid w:val="0007159F"/>
    <w:rsid w:val="00074EC5"/>
    <w:rsid w:val="0008157B"/>
    <w:rsid w:val="00081960"/>
    <w:rsid w:val="00095BBD"/>
    <w:rsid w:val="000A72CB"/>
    <w:rsid w:val="000B1101"/>
    <w:rsid w:val="000B222C"/>
    <w:rsid w:val="000C21D3"/>
    <w:rsid w:val="000D0321"/>
    <w:rsid w:val="000D11B4"/>
    <w:rsid w:val="000D32BD"/>
    <w:rsid w:val="000E0131"/>
    <w:rsid w:val="000E44C4"/>
    <w:rsid w:val="000F004A"/>
    <w:rsid w:val="000F1206"/>
    <w:rsid w:val="000F2BCE"/>
    <w:rsid w:val="00101E69"/>
    <w:rsid w:val="00102895"/>
    <w:rsid w:val="001054BF"/>
    <w:rsid w:val="00107084"/>
    <w:rsid w:val="00122610"/>
    <w:rsid w:val="0012376B"/>
    <w:rsid w:val="00135932"/>
    <w:rsid w:val="00136FC2"/>
    <w:rsid w:val="001418A1"/>
    <w:rsid w:val="00146E21"/>
    <w:rsid w:val="0015105B"/>
    <w:rsid w:val="00153306"/>
    <w:rsid w:val="001539B7"/>
    <w:rsid w:val="00155FDB"/>
    <w:rsid w:val="00157111"/>
    <w:rsid w:val="00160976"/>
    <w:rsid w:val="00160F60"/>
    <w:rsid w:val="001617A3"/>
    <w:rsid w:val="00163B98"/>
    <w:rsid w:val="00172990"/>
    <w:rsid w:val="0018157C"/>
    <w:rsid w:val="0018253C"/>
    <w:rsid w:val="00182878"/>
    <w:rsid w:val="001851DA"/>
    <w:rsid w:val="00186A9D"/>
    <w:rsid w:val="001A4A56"/>
    <w:rsid w:val="001A6DDA"/>
    <w:rsid w:val="001A7B19"/>
    <w:rsid w:val="001B2915"/>
    <w:rsid w:val="001B6B43"/>
    <w:rsid w:val="001D2A8F"/>
    <w:rsid w:val="001D3F1F"/>
    <w:rsid w:val="001D41A4"/>
    <w:rsid w:val="001D720D"/>
    <w:rsid w:val="001E41AF"/>
    <w:rsid w:val="001E4934"/>
    <w:rsid w:val="001F18E4"/>
    <w:rsid w:val="001F5AB1"/>
    <w:rsid w:val="00206B06"/>
    <w:rsid w:val="002214AF"/>
    <w:rsid w:val="002323C6"/>
    <w:rsid w:val="00232793"/>
    <w:rsid w:val="002344DE"/>
    <w:rsid w:val="00235488"/>
    <w:rsid w:val="00240FF2"/>
    <w:rsid w:val="0024137A"/>
    <w:rsid w:val="002423FF"/>
    <w:rsid w:val="0024549A"/>
    <w:rsid w:val="00247633"/>
    <w:rsid w:val="002504A9"/>
    <w:rsid w:val="00250AF2"/>
    <w:rsid w:val="00251FBB"/>
    <w:rsid w:val="002528B4"/>
    <w:rsid w:val="00252CE5"/>
    <w:rsid w:val="0025344E"/>
    <w:rsid w:val="00254063"/>
    <w:rsid w:val="00256D2D"/>
    <w:rsid w:val="00256E32"/>
    <w:rsid w:val="002756FC"/>
    <w:rsid w:val="002758CE"/>
    <w:rsid w:val="00276891"/>
    <w:rsid w:val="002768EE"/>
    <w:rsid w:val="0028070B"/>
    <w:rsid w:val="002812C0"/>
    <w:rsid w:val="00284503"/>
    <w:rsid w:val="00284738"/>
    <w:rsid w:val="002848CA"/>
    <w:rsid w:val="00286CEB"/>
    <w:rsid w:val="00291A5B"/>
    <w:rsid w:val="0029283F"/>
    <w:rsid w:val="00296D5E"/>
    <w:rsid w:val="00297522"/>
    <w:rsid w:val="002B2905"/>
    <w:rsid w:val="002B3D75"/>
    <w:rsid w:val="002B5A5A"/>
    <w:rsid w:val="002B6692"/>
    <w:rsid w:val="002C259A"/>
    <w:rsid w:val="002C4388"/>
    <w:rsid w:val="002C4DCC"/>
    <w:rsid w:val="002C5489"/>
    <w:rsid w:val="002C658E"/>
    <w:rsid w:val="002D317B"/>
    <w:rsid w:val="002D3455"/>
    <w:rsid w:val="002D5D18"/>
    <w:rsid w:val="002F1A8B"/>
    <w:rsid w:val="002F3BC6"/>
    <w:rsid w:val="002F4DA6"/>
    <w:rsid w:val="00305387"/>
    <w:rsid w:val="00307F43"/>
    <w:rsid w:val="003103E2"/>
    <w:rsid w:val="00311E69"/>
    <w:rsid w:val="00317112"/>
    <w:rsid w:val="00331253"/>
    <w:rsid w:val="00336F8C"/>
    <w:rsid w:val="00342C44"/>
    <w:rsid w:val="003446D5"/>
    <w:rsid w:val="00344A4E"/>
    <w:rsid w:val="00351113"/>
    <w:rsid w:val="00351BB8"/>
    <w:rsid w:val="00353E3C"/>
    <w:rsid w:val="00355AAD"/>
    <w:rsid w:val="00360D6E"/>
    <w:rsid w:val="003645F0"/>
    <w:rsid w:val="00366CFC"/>
    <w:rsid w:val="00371F5C"/>
    <w:rsid w:val="0037371F"/>
    <w:rsid w:val="00384926"/>
    <w:rsid w:val="00386377"/>
    <w:rsid w:val="003904BE"/>
    <w:rsid w:val="003923FD"/>
    <w:rsid w:val="0039473F"/>
    <w:rsid w:val="003A5BCC"/>
    <w:rsid w:val="003A635B"/>
    <w:rsid w:val="003A643E"/>
    <w:rsid w:val="003B1CB0"/>
    <w:rsid w:val="003B386D"/>
    <w:rsid w:val="003B4980"/>
    <w:rsid w:val="003C1008"/>
    <w:rsid w:val="003D58A8"/>
    <w:rsid w:val="003D5D88"/>
    <w:rsid w:val="003D73B4"/>
    <w:rsid w:val="003D7F23"/>
    <w:rsid w:val="003E403A"/>
    <w:rsid w:val="003E6CE7"/>
    <w:rsid w:val="003F243C"/>
    <w:rsid w:val="0040102A"/>
    <w:rsid w:val="00401395"/>
    <w:rsid w:val="0040485D"/>
    <w:rsid w:val="00407000"/>
    <w:rsid w:val="004232F0"/>
    <w:rsid w:val="00424024"/>
    <w:rsid w:val="00426718"/>
    <w:rsid w:val="00434DE4"/>
    <w:rsid w:val="00435255"/>
    <w:rsid w:val="00437495"/>
    <w:rsid w:val="004376D3"/>
    <w:rsid w:val="00464494"/>
    <w:rsid w:val="00470371"/>
    <w:rsid w:val="00472385"/>
    <w:rsid w:val="00475C8B"/>
    <w:rsid w:val="00481627"/>
    <w:rsid w:val="00481EEE"/>
    <w:rsid w:val="00485D89"/>
    <w:rsid w:val="00492B68"/>
    <w:rsid w:val="004A60DA"/>
    <w:rsid w:val="004A6708"/>
    <w:rsid w:val="004B3D59"/>
    <w:rsid w:val="004B70D3"/>
    <w:rsid w:val="004C228F"/>
    <w:rsid w:val="004C395D"/>
    <w:rsid w:val="004D3FCF"/>
    <w:rsid w:val="004D4031"/>
    <w:rsid w:val="004E0229"/>
    <w:rsid w:val="004E1E7E"/>
    <w:rsid w:val="004F017B"/>
    <w:rsid w:val="004F3C50"/>
    <w:rsid w:val="004F3EB8"/>
    <w:rsid w:val="004F6660"/>
    <w:rsid w:val="00511F35"/>
    <w:rsid w:val="00522398"/>
    <w:rsid w:val="00543119"/>
    <w:rsid w:val="00543A61"/>
    <w:rsid w:val="0054628C"/>
    <w:rsid w:val="00547176"/>
    <w:rsid w:val="00547518"/>
    <w:rsid w:val="00550802"/>
    <w:rsid w:val="00552F2D"/>
    <w:rsid w:val="00554350"/>
    <w:rsid w:val="00555C8B"/>
    <w:rsid w:val="00555CC5"/>
    <w:rsid w:val="00567963"/>
    <w:rsid w:val="00576C3F"/>
    <w:rsid w:val="0058136B"/>
    <w:rsid w:val="0058213C"/>
    <w:rsid w:val="005859B7"/>
    <w:rsid w:val="00587DDB"/>
    <w:rsid w:val="005C419A"/>
    <w:rsid w:val="005C7D46"/>
    <w:rsid w:val="005D4C5E"/>
    <w:rsid w:val="005E3377"/>
    <w:rsid w:val="005E70CF"/>
    <w:rsid w:val="005E7506"/>
    <w:rsid w:val="005F33CF"/>
    <w:rsid w:val="005F5B30"/>
    <w:rsid w:val="005F6190"/>
    <w:rsid w:val="006032B3"/>
    <w:rsid w:val="006055C5"/>
    <w:rsid w:val="006110FB"/>
    <w:rsid w:val="00611B21"/>
    <w:rsid w:val="006206A6"/>
    <w:rsid w:val="00620AA9"/>
    <w:rsid w:val="00623C6F"/>
    <w:rsid w:val="006315E7"/>
    <w:rsid w:val="00635161"/>
    <w:rsid w:val="00635D89"/>
    <w:rsid w:val="006364E5"/>
    <w:rsid w:val="006500A0"/>
    <w:rsid w:val="006508FC"/>
    <w:rsid w:val="00652BBE"/>
    <w:rsid w:val="00653375"/>
    <w:rsid w:val="00663F34"/>
    <w:rsid w:val="006652B9"/>
    <w:rsid w:val="0067254C"/>
    <w:rsid w:val="0068021A"/>
    <w:rsid w:val="0068288C"/>
    <w:rsid w:val="0068326E"/>
    <w:rsid w:val="0069478E"/>
    <w:rsid w:val="00696F37"/>
    <w:rsid w:val="006A3072"/>
    <w:rsid w:val="006A3CD3"/>
    <w:rsid w:val="006A4F05"/>
    <w:rsid w:val="006A6B95"/>
    <w:rsid w:val="006B2F12"/>
    <w:rsid w:val="006C031A"/>
    <w:rsid w:val="006C176D"/>
    <w:rsid w:val="006D596F"/>
    <w:rsid w:val="006D7AE9"/>
    <w:rsid w:val="006F0575"/>
    <w:rsid w:val="00702035"/>
    <w:rsid w:val="0070343B"/>
    <w:rsid w:val="007112FC"/>
    <w:rsid w:val="00712370"/>
    <w:rsid w:val="007124BD"/>
    <w:rsid w:val="00713283"/>
    <w:rsid w:val="00720890"/>
    <w:rsid w:val="00732803"/>
    <w:rsid w:val="00737F95"/>
    <w:rsid w:val="00742101"/>
    <w:rsid w:val="00752598"/>
    <w:rsid w:val="00765AC1"/>
    <w:rsid w:val="0077220B"/>
    <w:rsid w:val="007734FB"/>
    <w:rsid w:val="00773B7A"/>
    <w:rsid w:val="0077585C"/>
    <w:rsid w:val="00777199"/>
    <w:rsid w:val="007827C9"/>
    <w:rsid w:val="007851F3"/>
    <w:rsid w:val="00786F42"/>
    <w:rsid w:val="00796D0D"/>
    <w:rsid w:val="007A0174"/>
    <w:rsid w:val="007A76C3"/>
    <w:rsid w:val="007C0307"/>
    <w:rsid w:val="007D3DAA"/>
    <w:rsid w:val="007D5263"/>
    <w:rsid w:val="007D790E"/>
    <w:rsid w:val="007E368B"/>
    <w:rsid w:val="007F3D47"/>
    <w:rsid w:val="007F6F81"/>
    <w:rsid w:val="00802A82"/>
    <w:rsid w:val="00802B20"/>
    <w:rsid w:val="00802CCB"/>
    <w:rsid w:val="00807D03"/>
    <w:rsid w:val="00811641"/>
    <w:rsid w:val="0081517E"/>
    <w:rsid w:val="0081759E"/>
    <w:rsid w:val="00821C35"/>
    <w:rsid w:val="00825434"/>
    <w:rsid w:val="00842F53"/>
    <w:rsid w:val="008439B0"/>
    <w:rsid w:val="00847B9B"/>
    <w:rsid w:val="00864673"/>
    <w:rsid w:val="00866C79"/>
    <w:rsid w:val="008761F8"/>
    <w:rsid w:val="00885BB6"/>
    <w:rsid w:val="0088610F"/>
    <w:rsid w:val="0088659C"/>
    <w:rsid w:val="00892F00"/>
    <w:rsid w:val="008A5C84"/>
    <w:rsid w:val="008A69B6"/>
    <w:rsid w:val="008B069F"/>
    <w:rsid w:val="008C2556"/>
    <w:rsid w:val="008C4CA8"/>
    <w:rsid w:val="008C6529"/>
    <w:rsid w:val="008D097C"/>
    <w:rsid w:val="008D6BF3"/>
    <w:rsid w:val="008E4E4B"/>
    <w:rsid w:val="008E7229"/>
    <w:rsid w:val="008F1FDF"/>
    <w:rsid w:val="00901F74"/>
    <w:rsid w:val="00905128"/>
    <w:rsid w:val="009116E1"/>
    <w:rsid w:val="009141F2"/>
    <w:rsid w:val="0091625B"/>
    <w:rsid w:val="00930517"/>
    <w:rsid w:val="00931F68"/>
    <w:rsid w:val="00936EFF"/>
    <w:rsid w:val="009372E0"/>
    <w:rsid w:val="009430CE"/>
    <w:rsid w:val="0094347E"/>
    <w:rsid w:val="00952D31"/>
    <w:rsid w:val="00954707"/>
    <w:rsid w:val="00964BE7"/>
    <w:rsid w:val="00967CFF"/>
    <w:rsid w:val="00970ABE"/>
    <w:rsid w:val="00971668"/>
    <w:rsid w:val="00973188"/>
    <w:rsid w:val="009745A5"/>
    <w:rsid w:val="00975507"/>
    <w:rsid w:val="00981D0E"/>
    <w:rsid w:val="00983B26"/>
    <w:rsid w:val="00990B2B"/>
    <w:rsid w:val="009916F9"/>
    <w:rsid w:val="009929E9"/>
    <w:rsid w:val="00992E8D"/>
    <w:rsid w:val="009A62BD"/>
    <w:rsid w:val="009A680F"/>
    <w:rsid w:val="009A75B9"/>
    <w:rsid w:val="009B06C0"/>
    <w:rsid w:val="009B1162"/>
    <w:rsid w:val="009E3DEA"/>
    <w:rsid w:val="009E47D0"/>
    <w:rsid w:val="009F44CC"/>
    <w:rsid w:val="009F7B7F"/>
    <w:rsid w:val="00A11D2F"/>
    <w:rsid w:val="00A161BB"/>
    <w:rsid w:val="00A16214"/>
    <w:rsid w:val="00A3093A"/>
    <w:rsid w:val="00A3124A"/>
    <w:rsid w:val="00A3614E"/>
    <w:rsid w:val="00A41089"/>
    <w:rsid w:val="00A41B0A"/>
    <w:rsid w:val="00A46A79"/>
    <w:rsid w:val="00A50042"/>
    <w:rsid w:val="00A60A5A"/>
    <w:rsid w:val="00A649E3"/>
    <w:rsid w:val="00A650F0"/>
    <w:rsid w:val="00A67EA1"/>
    <w:rsid w:val="00A723E8"/>
    <w:rsid w:val="00A81ABA"/>
    <w:rsid w:val="00A822FD"/>
    <w:rsid w:val="00A845BE"/>
    <w:rsid w:val="00A86A61"/>
    <w:rsid w:val="00A926E0"/>
    <w:rsid w:val="00A93867"/>
    <w:rsid w:val="00A9535F"/>
    <w:rsid w:val="00AB5C98"/>
    <w:rsid w:val="00AB77D7"/>
    <w:rsid w:val="00AC0566"/>
    <w:rsid w:val="00AD079A"/>
    <w:rsid w:val="00AD0CD8"/>
    <w:rsid w:val="00AD43A3"/>
    <w:rsid w:val="00AD5132"/>
    <w:rsid w:val="00AE43D0"/>
    <w:rsid w:val="00AE5EEC"/>
    <w:rsid w:val="00AF0C5B"/>
    <w:rsid w:val="00AF1725"/>
    <w:rsid w:val="00AF21AC"/>
    <w:rsid w:val="00AF69C8"/>
    <w:rsid w:val="00B02D93"/>
    <w:rsid w:val="00B0372D"/>
    <w:rsid w:val="00B153B8"/>
    <w:rsid w:val="00B179CE"/>
    <w:rsid w:val="00B25E4A"/>
    <w:rsid w:val="00B33181"/>
    <w:rsid w:val="00B3585D"/>
    <w:rsid w:val="00B361FE"/>
    <w:rsid w:val="00B376AA"/>
    <w:rsid w:val="00B402FD"/>
    <w:rsid w:val="00B43068"/>
    <w:rsid w:val="00B708C0"/>
    <w:rsid w:val="00B748E3"/>
    <w:rsid w:val="00B82C63"/>
    <w:rsid w:val="00B85BB8"/>
    <w:rsid w:val="00B874A2"/>
    <w:rsid w:val="00B96763"/>
    <w:rsid w:val="00BA1420"/>
    <w:rsid w:val="00BA7CD7"/>
    <w:rsid w:val="00BB30D4"/>
    <w:rsid w:val="00BD7114"/>
    <w:rsid w:val="00BE3B0A"/>
    <w:rsid w:val="00BE5540"/>
    <w:rsid w:val="00BF2C24"/>
    <w:rsid w:val="00BF51D3"/>
    <w:rsid w:val="00C04FA4"/>
    <w:rsid w:val="00C10743"/>
    <w:rsid w:val="00C16864"/>
    <w:rsid w:val="00C2352A"/>
    <w:rsid w:val="00C31AC3"/>
    <w:rsid w:val="00C36FDD"/>
    <w:rsid w:val="00C37044"/>
    <w:rsid w:val="00C43843"/>
    <w:rsid w:val="00C5174B"/>
    <w:rsid w:val="00C71781"/>
    <w:rsid w:val="00C90632"/>
    <w:rsid w:val="00C9672B"/>
    <w:rsid w:val="00CA22AB"/>
    <w:rsid w:val="00CA6CE5"/>
    <w:rsid w:val="00CA7005"/>
    <w:rsid w:val="00CB782D"/>
    <w:rsid w:val="00CC2F05"/>
    <w:rsid w:val="00CD5406"/>
    <w:rsid w:val="00CE60E0"/>
    <w:rsid w:val="00CF7F90"/>
    <w:rsid w:val="00D06BAD"/>
    <w:rsid w:val="00D10085"/>
    <w:rsid w:val="00D11E5B"/>
    <w:rsid w:val="00D16F79"/>
    <w:rsid w:val="00D26ED6"/>
    <w:rsid w:val="00D30224"/>
    <w:rsid w:val="00D33E2E"/>
    <w:rsid w:val="00D37EE3"/>
    <w:rsid w:val="00D447FD"/>
    <w:rsid w:val="00D46BBE"/>
    <w:rsid w:val="00D66017"/>
    <w:rsid w:val="00D778DE"/>
    <w:rsid w:val="00DA0EBD"/>
    <w:rsid w:val="00DB4F47"/>
    <w:rsid w:val="00DB74DD"/>
    <w:rsid w:val="00DC25D3"/>
    <w:rsid w:val="00DC2A24"/>
    <w:rsid w:val="00DC3947"/>
    <w:rsid w:val="00DC5F48"/>
    <w:rsid w:val="00DD21CF"/>
    <w:rsid w:val="00DD6508"/>
    <w:rsid w:val="00DD6914"/>
    <w:rsid w:val="00DE3483"/>
    <w:rsid w:val="00DE393A"/>
    <w:rsid w:val="00DF2DC8"/>
    <w:rsid w:val="00DF4608"/>
    <w:rsid w:val="00DF495D"/>
    <w:rsid w:val="00DF5A73"/>
    <w:rsid w:val="00DF69C6"/>
    <w:rsid w:val="00E0150C"/>
    <w:rsid w:val="00E0661C"/>
    <w:rsid w:val="00E138A2"/>
    <w:rsid w:val="00E14183"/>
    <w:rsid w:val="00E15A47"/>
    <w:rsid w:val="00E2446D"/>
    <w:rsid w:val="00E41A08"/>
    <w:rsid w:val="00E43AC2"/>
    <w:rsid w:val="00E46D72"/>
    <w:rsid w:val="00E47662"/>
    <w:rsid w:val="00E5127D"/>
    <w:rsid w:val="00E60017"/>
    <w:rsid w:val="00E60CBF"/>
    <w:rsid w:val="00E6263B"/>
    <w:rsid w:val="00E65E7B"/>
    <w:rsid w:val="00E74727"/>
    <w:rsid w:val="00E77FF1"/>
    <w:rsid w:val="00E85232"/>
    <w:rsid w:val="00E86EF3"/>
    <w:rsid w:val="00E9016D"/>
    <w:rsid w:val="00E9135E"/>
    <w:rsid w:val="00E945D8"/>
    <w:rsid w:val="00E97B8B"/>
    <w:rsid w:val="00EA2677"/>
    <w:rsid w:val="00EA3E81"/>
    <w:rsid w:val="00EB3EC1"/>
    <w:rsid w:val="00EB46B0"/>
    <w:rsid w:val="00EB4997"/>
    <w:rsid w:val="00EB6827"/>
    <w:rsid w:val="00EC2E5D"/>
    <w:rsid w:val="00EC400C"/>
    <w:rsid w:val="00EC60D4"/>
    <w:rsid w:val="00ED0D8F"/>
    <w:rsid w:val="00ED3055"/>
    <w:rsid w:val="00ED63A8"/>
    <w:rsid w:val="00EE64C3"/>
    <w:rsid w:val="00EE7D92"/>
    <w:rsid w:val="00EF0341"/>
    <w:rsid w:val="00EF581D"/>
    <w:rsid w:val="00F02F25"/>
    <w:rsid w:val="00F02FDA"/>
    <w:rsid w:val="00F145AB"/>
    <w:rsid w:val="00F15871"/>
    <w:rsid w:val="00F15DB0"/>
    <w:rsid w:val="00F3176A"/>
    <w:rsid w:val="00F3191E"/>
    <w:rsid w:val="00F33CF3"/>
    <w:rsid w:val="00F3535E"/>
    <w:rsid w:val="00F437FD"/>
    <w:rsid w:val="00F44DCF"/>
    <w:rsid w:val="00F45E8B"/>
    <w:rsid w:val="00F567EC"/>
    <w:rsid w:val="00F56DC1"/>
    <w:rsid w:val="00F66B16"/>
    <w:rsid w:val="00F91762"/>
    <w:rsid w:val="00F941E8"/>
    <w:rsid w:val="00FA1EB6"/>
    <w:rsid w:val="00FA5619"/>
    <w:rsid w:val="00FA7C87"/>
    <w:rsid w:val="00FB2862"/>
    <w:rsid w:val="00FB2F35"/>
    <w:rsid w:val="00FB304C"/>
    <w:rsid w:val="00FC150C"/>
    <w:rsid w:val="00FC2E7B"/>
    <w:rsid w:val="00FC4C12"/>
    <w:rsid w:val="00FC7FF8"/>
    <w:rsid w:val="00FD0779"/>
    <w:rsid w:val="00FD3B29"/>
    <w:rsid w:val="00FD40D9"/>
    <w:rsid w:val="00FD539A"/>
    <w:rsid w:val="00FE2BDB"/>
    <w:rsid w:val="00FE33A2"/>
    <w:rsid w:val="00FE5246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6FAF"/>
  <w15:docId w15:val="{2656AA28-7F91-FC4A-9953-2001D5A3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71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B3D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3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D5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376D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376D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376D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7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6D3"/>
  </w:style>
  <w:style w:type="paragraph" w:styleId="Pidipagina">
    <w:name w:val="footer"/>
    <w:basedOn w:val="Normale"/>
    <w:link w:val="PidipaginaCarattere"/>
    <w:uiPriority w:val="99"/>
    <w:unhideWhenUsed/>
    <w:rsid w:val="00437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6D3"/>
  </w:style>
  <w:style w:type="character" w:styleId="Numeropagina">
    <w:name w:val="page number"/>
    <w:basedOn w:val="Carpredefinitoparagrafo"/>
    <w:uiPriority w:val="99"/>
    <w:semiHidden/>
    <w:unhideWhenUsed/>
    <w:rsid w:val="004376D3"/>
  </w:style>
  <w:style w:type="character" w:styleId="Rimandocommento">
    <w:name w:val="annotation reference"/>
    <w:basedOn w:val="Carpredefinitoparagrafo"/>
    <w:uiPriority w:val="99"/>
    <w:semiHidden/>
    <w:unhideWhenUsed/>
    <w:rsid w:val="004013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3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3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3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39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39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395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</dc:creator>
  <cp:keywords/>
  <dc:description/>
  <cp:lastModifiedBy>Giuseppe Mauro</cp:lastModifiedBy>
  <cp:revision>187</cp:revision>
  <dcterms:created xsi:type="dcterms:W3CDTF">2018-11-02T08:16:00Z</dcterms:created>
  <dcterms:modified xsi:type="dcterms:W3CDTF">2018-11-02T19:30:00Z</dcterms:modified>
</cp:coreProperties>
</file>